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9" w:rsidRPr="00F35F0C" w:rsidRDefault="000656A9" w:rsidP="00F35F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FF0000"/>
          <w:spacing w:val="2"/>
          <w:sz w:val="28"/>
          <w:szCs w:val="28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b/>
          <w:bCs/>
          <w:color w:val="FF0000"/>
          <w:spacing w:val="2"/>
          <w:sz w:val="28"/>
          <w:szCs w:val="28"/>
          <w:u w:color="000000"/>
          <w:bdr w:val="nil"/>
          <w:lang w:eastAsia="ru-RU"/>
        </w:rPr>
        <w:t>Особые образовательные потребности глухих обучающихся</w:t>
      </w:r>
    </w:p>
    <w:p w:rsidR="00F35F0C" w:rsidRPr="00F35F0C" w:rsidRDefault="00F35F0C" w:rsidP="00F35F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  <w:bdr w:val="nil"/>
          <w:lang w:eastAsia="ru-RU"/>
        </w:rPr>
      </w:pPr>
    </w:p>
    <w:p w:rsidR="0016604C" w:rsidRPr="00F35F0C" w:rsidRDefault="000656A9" w:rsidP="00F35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Особые образовательные потребности различаются у глухих детей разных групп, поскольку задаются спецификой нарушения, уровнем общего и речевого развития,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ограниченными возможностями</w:t>
      </w:r>
    </w:p>
    <w:p w:rsidR="00F608BE" w:rsidRPr="00F35F0C" w:rsidRDefault="00F608BE" w:rsidP="00F35F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Особые образовательные потребности глухих обучающихся на основе АООП НОО (</w:t>
      </w:r>
      <w:r w:rsidRPr="00F35F0C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вариант 1.2</w:t>
      </w: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 включают:</w:t>
      </w:r>
    </w:p>
    <w:p w:rsidR="00F608BE" w:rsidRPr="00F35F0C" w:rsidRDefault="00F608BE" w:rsidP="00F35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условия обучения, обеспечивающие образовательно-коррекционную направленность всего образовательного процесса основе коммуникативно - </w:t>
      </w:r>
      <w:proofErr w:type="spell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деятельностного</w:t>
      </w:r>
      <w:proofErr w:type="spell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и личностно - </w:t>
      </w:r>
      <w:proofErr w:type="spell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ориетированного</w:t>
      </w:r>
      <w:proofErr w:type="spell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подходов при обязательном создании слухоречевой среды, целенаправленном и систематическом развитии словесной речи (в устной и письменной формах), познавательной деятельности, расширении жизненных компетенций глухих детей; </w:t>
      </w:r>
      <w:proofErr w:type="gramEnd"/>
    </w:p>
    <w:p w:rsidR="00F608BE" w:rsidRPr="00F35F0C" w:rsidRDefault="00F608BE" w:rsidP="00F35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обеспечение деловой и эмоционально комфортной атмосферы, способствующей качественному образованию и личностному развитию обучающихся, формированию активного сотрудничества  детей в разных видах учебной и внеурочной деятельности, расширению их социального опыта, взаимодействия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и сверстниками, в том числе, имеющими нормальный слух;</w:t>
      </w:r>
    </w:p>
    <w:p w:rsidR="00F608BE" w:rsidRPr="00F35F0C" w:rsidRDefault="00F608BE" w:rsidP="00F35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преодоление ситуативности, фрагментарности и однозначности понимания происходящего ребенком и его социокультурным окружением; </w:t>
      </w:r>
    </w:p>
    <w:p w:rsidR="00F608BE" w:rsidRPr="00F35F0C" w:rsidRDefault="00F608BE" w:rsidP="00F35F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специальную помощь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обучающимся</w:t>
      </w:r>
      <w:proofErr w:type="gram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в осмыслении, упорядочивании, дифференциации и речевом </w:t>
      </w:r>
      <w:proofErr w:type="spell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опосредовании</w:t>
      </w:r>
      <w:proofErr w:type="spell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индивидуального жизненного опыта, впечатлений, наблюдений, действий, воспоминаний, представлений о будущем; </w:t>
      </w:r>
    </w:p>
    <w:p w:rsidR="00F608BE" w:rsidRPr="00F35F0C" w:rsidRDefault="00F608BE" w:rsidP="00F35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специальную помощь в осознании своих возможностей и ограничений;</w:t>
      </w:r>
    </w:p>
    <w:p w:rsidR="00F608BE" w:rsidRPr="00F35F0C" w:rsidRDefault="00F608BE" w:rsidP="00F35F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учёт специфики восприятия и переработки информации, овладения  учебным материалом в процессе обучения глухих детей и оценке их достижений; исключение формального освоения и накопления знаний;</w:t>
      </w:r>
    </w:p>
    <w:p w:rsidR="00F608BE" w:rsidRPr="00F35F0C" w:rsidRDefault="00F608BE" w:rsidP="00F35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использование на уроках, занятиях, во внеурочное время соотношения устной, письменной, устно - </w:t>
      </w:r>
      <w:proofErr w:type="spell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дактильной</w:t>
      </w:r>
      <w:proofErr w:type="spell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(в устной и письменной формах) в ходе всего образовательно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–к</w:t>
      </w:r>
      <w:proofErr w:type="gram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оррекционного процесса; </w:t>
      </w:r>
    </w:p>
    <w:p w:rsidR="00F608BE" w:rsidRPr="00F35F0C" w:rsidRDefault="00F608BE" w:rsidP="00F35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использование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глухими</w:t>
      </w:r>
      <w:proofErr w:type="gram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познавательных, социокультурных и коммуникативных потребностей, разрешения возникающих трудностей и др.; </w:t>
      </w:r>
    </w:p>
    <w:p w:rsidR="00F608BE" w:rsidRPr="00F35F0C" w:rsidRDefault="00F608BE" w:rsidP="00F35F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 </w:t>
      </w:r>
    </w:p>
    <w:p w:rsidR="00F608BE" w:rsidRPr="00F35F0C" w:rsidRDefault="00F608BE" w:rsidP="00F35F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целенаправленное  и систематическое развитие речевого слуха, </w:t>
      </w:r>
      <w:proofErr w:type="spell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слухозрительного</w:t>
      </w:r>
      <w:proofErr w:type="spell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восприятия устной речи, ее произносительной стороны, восприятия неречевых звучаний, включая музыку, как важного условия овладения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обучающимися</w:t>
      </w:r>
      <w:proofErr w:type="gram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устной речью, речевым поведением, их более полноценного развития, качественного образования, социальной адаптации; </w:t>
      </w:r>
    </w:p>
    <w:p w:rsidR="00F608BE" w:rsidRPr="00F35F0C" w:rsidRDefault="00F608BE" w:rsidP="00F35F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умений пользоваться индивидуальными слуховыми аппаратами, звукоусиливающей аппаратурой коллективного и индивидуального пользования, следить за ее состоянием, оперативно обращаться за помощью в случае появления дискомфорта; </w:t>
      </w:r>
    </w:p>
    <w:p w:rsidR="00F608BE" w:rsidRPr="00F35F0C" w:rsidRDefault="00F608BE" w:rsidP="00F35F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организация внимания глухого ребенка к жизни близких людей, переживаниям близких взрослых и соучеников, специальная помощь в понимании взаимоотношений, связи событий, поступков и настроений, мотивов и последствий поступков своих и окружающих.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Особые образовательные потребности глухих обучающихся (вариант 1.3):</w:t>
      </w:r>
    </w:p>
    <w:p w:rsidR="00C24BD6" w:rsidRPr="00F35F0C" w:rsidRDefault="00C24BD6" w:rsidP="00F35F0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и развитие словесной речи (в устной и письменной форме) при использовании в качестве вспомогательных средств общения и обучения </w:t>
      </w:r>
      <w:proofErr w:type="spellStart"/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дактильной</w:t>
      </w:r>
      <w:proofErr w:type="spellEnd"/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жестовой речи;</w:t>
      </w:r>
    </w:p>
    <w:p w:rsidR="00C24BD6" w:rsidRPr="00F35F0C" w:rsidRDefault="00C24BD6" w:rsidP="00F35F0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элементарных операций наглядно-образной мыслительной деятельности: сравнение, обобщение;</w:t>
      </w:r>
    </w:p>
    <w:p w:rsidR="00C24BD6" w:rsidRPr="00F35F0C" w:rsidRDefault="00C24BD6" w:rsidP="00F35F0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повышение уровня общего развития;</w:t>
      </w:r>
    </w:p>
    <w:p w:rsidR="00C24BD6" w:rsidRPr="00F35F0C" w:rsidRDefault="00C24BD6" w:rsidP="00F35F0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коррекция познавательной деятельности с широкой опорой на предметно-практическое обучение;</w:t>
      </w:r>
    </w:p>
    <w:p w:rsidR="00C24BD6" w:rsidRPr="00F35F0C" w:rsidRDefault="00C24BD6" w:rsidP="00F35F0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обеспечение формирования жизненных компетенций, способствующих получению образования и социальной адаптации обучающихся. </w:t>
      </w:r>
    </w:p>
    <w:p w:rsidR="00C24BD6" w:rsidRPr="00F35F0C" w:rsidRDefault="00C24BD6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Адаптированная основная образовательная программа начального общего образования для </w:t>
      </w: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глухих обучающихся</w:t>
      </w:r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  (вариант 1.3) содержит: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-планируемые результаты освоения АООП НОО;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-систему оценки достижения </w:t>
      </w:r>
      <w:proofErr w:type="gramStart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обучающимися</w:t>
      </w:r>
      <w:proofErr w:type="gramEnd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планируемых результатов освоения АООП НОО;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-учебный план;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-программы отдельных учебных предметов;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-программу духовно-нравственного воспитания;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-программу коррекционной работы;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-программу формирования экологической культуры, здорового и безопасного образа жизни;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-программу внеурочной деятельности (включая коррекционно-развивающие занятия); </w:t>
      </w:r>
    </w:p>
    <w:p w:rsidR="00C24BD6" w:rsidRPr="00F35F0C" w:rsidRDefault="00C24BD6" w:rsidP="00F35F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-систему условий реализации адаптированной основной образовательной программы начального общего образования в соответствии с требованиями Стандарта. </w:t>
      </w:r>
    </w:p>
    <w:p w:rsidR="000A25D0" w:rsidRPr="00F35F0C" w:rsidRDefault="000A25D0" w:rsidP="00F35F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  <w:u w:color="000000"/>
          <w:bdr w:val="nil"/>
          <w:lang w:eastAsia="ru-RU"/>
        </w:rPr>
        <w:t>Особые образовательные потребности глухих обучающихся (вариант 1.4.)</w:t>
      </w:r>
    </w:p>
    <w:p w:rsidR="000A25D0" w:rsidRPr="00F35F0C" w:rsidRDefault="000A25D0" w:rsidP="00F35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>Глухие</w:t>
      </w:r>
      <w:proofErr w:type="gramEnd"/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 обучающиеся</w:t>
      </w:r>
      <w:r w:rsid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 </w:t>
      </w:r>
      <w:bookmarkStart w:id="0" w:name="_GoBack"/>
      <w:bookmarkEnd w:id="0"/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с  умеренной, тяжелой и глубокой умственной отсталостью (интеллектуальными нарушениями), тяжелыми множественными нарушениями развития</w:t>
      </w:r>
      <w:r w:rsidRPr="00F35F0C">
        <w:rPr>
          <w:rFonts w:ascii="Times New Roman" w:eastAsia="Arial Unicode MS" w:hAnsi="Times New Roman" w:cs="Times New Roman"/>
          <w:spacing w:val="2"/>
          <w:sz w:val="24"/>
          <w:szCs w:val="24"/>
          <w:u w:color="000000"/>
          <w:bdr w:val="nil"/>
          <w:lang w:eastAsia="ru-RU"/>
        </w:rPr>
        <w:t xml:space="preserve">, также как и  глухие обучающиеся без дополнительных нарушений развития, имеют общие и специфические образовательные потребности. </w:t>
      </w: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Особенности психофизического развития  детей с глухотой и другими тяжелыми первичными нарушениями определяют  специфические образовательные потребности, к которым относятся:</w:t>
      </w:r>
    </w:p>
    <w:p w:rsidR="000A25D0" w:rsidRPr="00F35F0C" w:rsidRDefault="000A25D0" w:rsidP="00F35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организация максимально раннего специального обучения, которое должно начинаться после сразу же после выявления сочетанных первичных нарушений развития;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высокая степень индивидуализации воспитания и обучения ребенка;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использование специфических методов и средств обучения, "обходных путей", необходимых для ребенка с учетом его индивидуальных особенностей;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более дифференцированное, "пошаговое"</w:t>
      </w:r>
      <w:r w:rsid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обучение по сравнению с  глухими детьми, обучающимися по другим вариантам стандарта </w:t>
      </w:r>
      <w:proofErr w:type="gramStart"/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( </w:t>
      </w:r>
      <w:proofErr w:type="gramEnd"/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В, С);</w:t>
      </w:r>
    </w:p>
    <w:p w:rsidR="000A25D0" w:rsidRPr="00F35F0C" w:rsidRDefault="000A25D0" w:rsidP="00F35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формирование потребности в общении, овладении средствами  коммуникации  с детьми и взрослыми;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навыков самообслуживания и других практических  умений, способствующих  нормализации и улучшению  ежедневной жизни;</w:t>
      </w:r>
    </w:p>
    <w:p w:rsidR="000A25D0" w:rsidRPr="00F35F0C" w:rsidRDefault="000A25D0" w:rsidP="00F35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315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специальное обучение «переносу» сформированных умений в новые  практические ситуации взаимодействия с действительностью;</w:t>
      </w:r>
    </w:p>
    <w:p w:rsidR="000A25D0" w:rsidRPr="00F35F0C" w:rsidRDefault="000A25D0" w:rsidP="00F35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развитие самостоятельности и большей  независимости  от  близких взрослых в повседневной жизни;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обучение обучающихся использованию специальных технических средств, способствующих  ориентировке в окружающем мире, налаживанию  общения с детьми и взрослыми; 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специальная организация предметно-развивающей среды и рабочего места с учетом характера множественных нарушений;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специальная организация взаимодействия с детьми и взрослыми, расширение круга общения, выход обучающегося за пределы семьи и образовательной организации;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комплексный характер взаимодействия специалистов в связи с необходимостью коррекции множественных нарушений;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раскрытие интересов  и способностей ребенка в разных видах  практической, художественно – эстетической деятельности;</w:t>
      </w:r>
    </w:p>
    <w:p w:rsidR="000A25D0" w:rsidRPr="00F35F0C" w:rsidRDefault="000A25D0" w:rsidP="00F35F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35F0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психологическое сопровождение семьи обучающегося, направленное на установление взаимодействия семьи и образовательного учреждения.</w:t>
      </w:r>
      <w:proofErr w:type="gramEnd"/>
    </w:p>
    <w:p w:rsidR="000A25D0" w:rsidRPr="00F35F0C" w:rsidRDefault="000A25D0" w:rsidP="00F3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5D0" w:rsidRPr="00F3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461"/>
    <w:multiLevelType w:val="multilevel"/>
    <w:tmpl w:val="B26A07A6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07340743"/>
    <w:multiLevelType w:val="multilevel"/>
    <w:tmpl w:val="AE188446"/>
    <w:styleLink w:val="List5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position w:val="0"/>
        <w:sz w:val="28"/>
        <w:szCs w:val="28"/>
        <w:lang w:val="ru-RU"/>
      </w:rPr>
    </w:lvl>
  </w:abstractNum>
  <w:abstractNum w:abstractNumId="2">
    <w:nsid w:val="0B880B35"/>
    <w:multiLevelType w:val="multilevel"/>
    <w:tmpl w:val="2DFC78EA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nsid w:val="0C01278F"/>
    <w:multiLevelType w:val="multilevel"/>
    <w:tmpl w:val="91CCC2E6"/>
    <w:styleLink w:val="List5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position w:val="0"/>
        <w:sz w:val="28"/>
        <w:szCs w:val="28"/>
        <w:lang w:val="ru-RU"/>
      </w:rPr>
    </w:lvl>
  </w:abstractNum>
  <w:abstractNum w:abstractNumId="4">
    <w:nsid w:val="141F2F2B"/>
    <w:multiLevelType w:val="multilevel"/>
    <w:tmpl w:val="5E60206A"/>
    <w:styleLink w:val="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>
    <w:nsid w:val="16CE02FF"/>
    <w:multiLevelType w:val="multilevel"/>
    <w:tmpl w:val="2D963A1E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6">
    <w:nsid w:val="26CA3E03"/>
    <w:multiLevelType w:val="multilevel"/>
    <w:tmpl w:val="5ABAEADC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2B800DD6"/>
    <w:multiLevelType w:val="multilevel"/>
    <w:tmpl w:val="F33E2ED6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8">
    <w:nsid w:val="388F7232"/>
    <w:multiLevelType w:val="multilevel"/>
    <w:tmpl w:val="57B2AA20"/>
    <w:styleLink w:val="List5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position w:val="0"/>
        <w:sz w:val="28"/>
        <w:szCs w:val="28"/>
        <w:lang w:val="ru-RU"/>
      </w:rPr>
    </w:lvl>
  </w:abstractNum>
  <w:abstractNum w:abstractNumId="9">
    <w:nsid w:val="3EC54262"/>
    <w:multiLevelType w:val="multilevel"/>
    <w:tmpl w:val="DC705D52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>
    <w:nsid w:val="4F2F15A0"/>
    <w:multiLevelType w:val="multilevel"/>
    <w:tmpl w:val="8C1C8BD8"/>
    <w:styleLink w:val="List5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position w:val="0"/>
        <w:sz w:val="28"/>
        <w:szCs w:val="28"/>
        <w:lang w:val="ru-RU"/>
      </w:rPr>
    </w:lvl>
  </w:abstractNum>
  <w:abstractNum w:abstractNumId="11">
    <w:nsid w:val="4FF70079"/>
    <w:multiLevelType w:val="multilevel"/>
    <w:tmpl w:val="866094AA"/>
    <w:styleLink w:val="List5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position w:val="0"/>
        <w:sz w:val="28"/>
        <w:szCs w:val="28"/>
        <w:lang w:val="ru-RU"/>
      </w:rPr>
    </w:lvl>
  </w:abstractNum>
  <w:abstractNum w:abstractNumId="12">
    <w:nsid w:val="518C22A4"/>
    <w:multiLevelType w:val="multilevel"/>
    <w:tmpl w:val="59B2959C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3">
    <w:nsid w:val="58C24575"/>
    <w:multiLevelType w:val="multilevel"/>
    <w:tmpl w:val="B9BAC85E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4">
    <w:nsid w:val="66C56CE3"/>
    <w:multiLevelType w:val="multilevel"/>
    <w:tmpl w:val="2024473A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5">
    <w:nsid w:val="6B014AD8"/>
    <w:multiLevelType w:val="multilevel"/>
    <w:tmpl w:val="2F706984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6">
    <w:nsid w:val="6F4C75FD"/>
    <w:multiLevelType w:val="multilevel"/>
    <w:tmpl w:val="55FC3F98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7">
    <w:nsid w:val="76171616"/>
    <w:multiLevelType w:val="multilevel"/>
    <w:tmpl w:val="2230E0B6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3"/>
  </w:num>
  <w:num w:numId="5">
    <w:abstractNumId w:val="5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D"/>
    <w:rsid w:val="000656A9"/>
    <w:rsid w:val="000A25D0"/>
    <w:rsid w:val="0016604C"/>
    <w:rsid w:val="006D367D"/>
    <w:rsid w:val="00C24BD6"/>
    <w:rsid w:val="00F35F0C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65">
    <w:name w:val="List 165"/>
    <w:basedOn w:val="a2"/>
    <w:rsid w:val="00F608BE"/>
    <w:pPr>
      <w:numPr>
        <w:numId w:val="1"/>
      </w:numPr>
    </w:pPr>
  </w:style>
  <w:style w:type="numbering" w:customStyle="1" w:styleId="List166">
    <w:name w:val="List 166"/>
    <w:basedOn w:val="a2"/>
    <w:rsid w:val="00F608BE"/>
    <w:pPr>
      <w:numPr>
        <w:numId w:val="2"/>
      </w:numPr>
    </w:pPr>
  </w:style>
  <w:style w:type="numbering" w:customStyle="1" w:styleId="List167">
    <w:name w:val="List 167"/>
    <w:basedOn w:val="a2"/>
    <w:rsid w:val="00F608BE"/>
    <w:pPr>
      <w:numPr>
        <w:numId w:val="3"/>
      </w:numPr>
    </w:pPr>
  </w:style>
  <w:style w:type="numbering" w:customStyle="1" w:styleId="List168">
    <w:name w:val="List 168"/>
    <w:basedOn w:val="a2"/>
    <w:rsid w:val="00F608BE"/>
    <w:pPr>
      <w:numPr>
        <w:numId w:val="4"/>
      </w:numPr>
    </w:pPr>
  </w:style>
  <w:style w:type="numbering" w:customStyle="1" w:styleId="List169">
    <w:name w:val="List 169"/>
    <w:basedOn w:val="a2"/>
    <w:rsid w:val="00F608BE"/>
    <w:pPr>
      <w:numPr>
        <w:numId w:val="5"/>
      </w:numPr>
    </w:pPr>
  </w:style>
  <w:style w:type="numbering" w:customStyle="1" w:styleId="List170">
    <w:name w:val="List 170"/>
    <w:basedOn w:val="a2"/>
    <w:rsid w:val="00F608BE"/>
    <w:pPr>
      <w:numPr>
        <w:numId w:val="6"/>
      </w:numPr>
    </w:pPr>
  </w:style>
  <w:style w:type="numbering" w:customStyle="1" w:styleId="List171">
    <w:name w:val="List 171"/>
    <w:basedOn w:val="a2"/>
    <w:rsid w:val="00F608BE"/>
    <w:pPr>
      <w:numPr>
        <w:numId w:val="7"/>
      </w:numPr>
    </w:pPr>
  </w:style>
  <w:style w:type="numbering" w:customStyle="1" w:styleId="List172">
    <w:name w:val="List 172"/>
    <w:basedOn w:val="a2"/>
    <w:rsid w:val="00F608BE"/>
    <w:pPr>
      <w:numPr>
        <w:numId w:val="8"/>
      </w:numPr>
    </w:pPr>
  </w:style>
  <w:style w:type="numbering" w:customStyle="1" w:styleId="List173">
    <w:name w:val="List 173"/>
    <w:basedOn w:val="a2"/>
    <w:rsid w:val="00F608BE"/>
    <w:pPr>
      <w:numPr>
        <w:numId w:val="9"/>
      </w:numPr>
    </w:pPr>
  </w:style>
  <w:style w:type="numbering" w:customStyle="1" w:styleId="List174">
    <w:name w:val="List 174"/>
    <w:basedOn w:val="a2"/>
    <w:rsid w:val="00F608BE"/>
    <w:pPr>
      <w:numPr>
        <w:numId w:val="10"/>
      </w:numPr>
    </w:pPr>
  </w:style>
  <w:style w:type="numbering" w:customStyle="1" w:styleId="List175">
    <w:name w:val="List 175"/>
    <w:basedOn w:val="a2"/>
    <w:rsid w:val="00F608BE"/>
    <w:pPr>
      <w:numPr>
        <w:numId w:val="11"/>
      </w:numPr>
    </w:pPr>
  </w:style>
  <w:style w:type="numbering" w:customStyle="1" w:styleId="List176">
    <w:name w:val="List 176"/>
    <w:basedOn w:val="a2"/>
    <w:rsid w:val="00F608BE"/>
    <w:pPr>
      <w:numPr>
        <w:numId w:val="12"/>
      </w:numPr>
    </w:pPr>
  </w:style>
  <w:style w:type="numbering" w:customStyle="1" w:styleId="41">
    <w:name w:val="Список 41"/>
    <w:basedOn w:val="a2"/>
    <w:rsid w:val="00C24BD6"/>
    <w:pPr>
      <w:numPr>
        <w:numId w:val="13"/>
      </w:numPr>
    </w:pPr>
  </w:style>
  <w:style w:type="numbering" w:customStyle="1" w:styleId="List514">
    <w:name w:val="List 514"/>
    <w:basedOn w:val="a2"/>
    <w:rsid w:val="00C24BD6"/>
    <w:pPr>
      <w:numPr>
        <w:numId w:val="14"/>
      </w:numPr>
    </w:pPr>
  </w:style>
  <w:style w:type="numbering" w:customStyle="1" w:styleId="List515">
    <w:name w:val="List 515"/>
    <w:basedOn w:val="a2"/>
    <w:rsid w:val="00C24BD6"/>
    <w:pPr>
      <w:numPr>
        <w:numId w:val="15"/>
      </w:numPr>
    </w:pPr>
  </w:style>
  <w:style w:type="numbering" w:customStyle="1" w:styleId="List516">
    <w:name w:val="List 516"/>
    <w:basedOn w:val="a2"/>
    <w:rsid w:val="00C24BD6"/>
    <w:pPr>
      <w:numPr>
        <w:numId w:val="16"/>
      </w:numPr>
    </w:pPr>
  </w:style>
  <w:style w:type="numbering" w:customStyle="1" w:styleId="List517">
    <w:name w:val="List 517"/>
    <w:basedOn w:val="a2"/>
    <w:rsid w:val="00C24BD6"/>
    <w:pPr>
      <w:numPr>
        <w:numId w:val="17"/>
      </w:numPr>
    </w:pPr>
  </w:style>
  <w:style w:type="numbering" w:customStyle="1" w:styleId="List518">
    <w:name w:val="List 518"/>
    <w:basedOn w:val="a2"/>
    <w:rsid w:val="00C24BD6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65">
    <w:name w:val="List 165"/>
    <w:basedOn w:val="a2"/>
    <w:rsid w:val="00F608BE"/>
    <w:pPr>
      <w:numPr>
        <w:numId w:val="1"/>
      </w:numPr>
    </w:pPr>
  </w:style>
  <w:style w:type="numbering" w:customStyle="1" w:styleId="List166">
    <w:name w:val="List 166"/>
    <w:basedOn w:val="a2"/>
    <w:rsid w:val="00F608BE"/>
    <w:pPr>
      <w:numPr>
        <w:numId w:val="2"/>
      </w:numPr>
    </w:pPr>
  </w:style>
  <w:style w:type="numbering" w:customStyle="1" w:styleId="List167">
    <w:name w:val="List 167"/>
    <w:basedOn w:val="a2"/>
    <w:rsid w:val="00F608BE"/>
    <w:pPr>
      <w:numPr>
        <w:numId w:val="3"/>
      </w:numPr>
    </w:pPr>
  </w:style>
  <w:style w:type="numbering" w:customStyle="1" w:styleId="List168">
    <w:name w:val="List 168"/>
    <w:basedOn w:val="a2"/>
    <w:rsid w:val="00F608BE"/>
    <w:pPr>
      <w:numPr>
        <w:numId w:val="4"/>
      </w:numPr>
    </w:pPr>
  </w:style>
  <w:style w:type="numbering" w:customStyle="1" w:styleId="List169">
    <w:name w:val="List 169"/>
    <w:basedOn w:val="a2"/>
    <w:rsid w:val="00F608BE"/>
    <w:pPr>
      <w:numPr>
        <w:numId w:val="5"/>
      </w:numPr>
    </w:pPr>
  </w:style>
  <w:style w:type="numbering" w:customStyle="1" w:styleId="List170">
    <w:name w:val="List 170"/>
    <w:basedOn w:val="a2"/>
    <w:rsid w:val="00F608BE"/>
    <w:pPr>
      <w:numPr>
        <w:numId w:val="6"/>
      </w:numPr>
    </w:pPr>
  </w:style>
  <w:style w:type="numbering" w:customStyle="1" w:styleId="List171">
    <w:name w:val="List 171"/>
    <w:basedOn w:val="a2"/>
    <w:rsid w:val="00F608BE"/>
    <w:pPr>
      <w:numPr>
        <w:numId w:val="7"/>
      </w:numPr>
    </w:pPr>
  </w:style>
  <w:style w:type="numbering" w:customStyle="1" w:styleId="List172">
    <w:name w:val="List 172"/>
    <w:basedOn w:val="a2"/>
    <w:rsid w:val="00F608BE"/>
    <w:pPr>
      <w:numPr>
        <w:numId w:val="8"/>
      </w:numPr>
    </w:pPr>
  </w:style>
  <w:style w:type="numbering" w:customStyle="1" w:styleId="List173">
    <w:name w:val="List 173"/>
    <w:basedOn w:val="a2"/>
    <w:rsid w:val="00F608BE"/>
    <w:pPr>
      <w:numPr>
        <w:numId w:val="9"/>
      </w:numPr>
    </w:pPr>
  </w:style>
  <w:style w:type="numbering" w:customStyle="1" w:styleId="List174">
    <w:name w:val="List 174"/>
    <w:basedOn w:val="a2"/>
    <w:rsid w:val="00F608BE"/>
    <w:pPr>
      <w:numPr>
        <w:numId w:val="10"/>
      </w:numPr>
    </w:pPr>
  </w:style>
  <w:style w:type="numbering" w:customStyle="1" w:styleId="List175">
    <w:name w:val="List 175"/>
    <w:basedOn w:val="a2"/>
    <w:rsid w:val="00F608BE"/>
    <w:pPr>
      <w:numPr>
        <w:numId w:val="11"/>
      </w:numPr>
    </w:pPr>
  </w:style>
  <w:style w:type="numbering" w:customStyle="1" w:styleId="List176">
    <w:name w:val="List 176"/>
    <w:basedOn w:val="a2"/>
    <w:rsid w:val="00F608BE"/>
    <w:pPr>
      <w:numPr>
        <w:numId w:val="12"/>
      </w:numPr>
    </w:pPr>
  </w:style>
  <w:style w:type="numbering" w:customStyle="1" w:styleId="41">
    <w:name w:val="Список 41"/>
    <w:basedOn w:val="a2"/>
    <w:rsid w:val="00C24BD6"/>
    <w:pPr>
      <w:numPr>
        <w:numId w:val="13"/>
      </w:numPr>
    </w:pPr>
  </w:style>
  <w:style w:type="numbering" w:customStyle="1" w:styleId="List514">
    <w:name w:val="List 514"/>
    <w:basedOn w:val="a2"/>
    <w:rsid w:val="00C24BD6"/>
    <w:pPr>
      <w:numPr>
        <w:numId w:val="14"/>
      </w:numPr>
    </w:pPr>
  </w:style>
  <w:style w:type="numbering" w:customStyle="1" w:styleId="List515">
    <w:name w:val="List 515"/>
    <w:basedOn w:val="a2"/>
    <w:rsid w:val="00C24BD6"/>
    <w:pPr>
      <w:numPr>
        <w:numId w:val="15"/>
      </w:numPr>
    </w:pPr>
  </w:style>
  <w:style w:type="numbering" w:customStyle="1" w:styleId="List516">
    <w:name w:val="List 516"/>
    <w:basedOn w:val="a2"/>
    <w:rsid w:val="00C24BD6"/>
    <w:pPr>
      <w:numPr>
        <w:numId w:val="16"/>
      </w:numPr>
    </w:pPr>
  </w:style>
  <w:style w:type="numbering" w:customStyle="1" w:styleId="List517">
    <w:name w:val="List 517"/>
    <w:basedOn w:val="a2"/>
    <w:rsid w:val="00C24BD6"/>
    <w:pPr>
      <w:numPr>
        <w:numId w:val="17"/>
      </w:numPr>
    </w:pPr>
  </w:style>
  <w:style w:type="numbering" w:customStyle="1" w:styleId="List518">
    <w:name w:val="List 518"/>
    <w:basedOn w:val="a2"/>
    <w:rsid w:val="00C24BD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6101</Characters>
  <Application>Microsoft Office Word</Application>
  <DocSecurity>0</DocSecurity>
  <Lines>50</Lines>
  <Paragraphs>14</Paragraphs>
  <ScaleCrop>false</ScaleCrop>
  <Company>Home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2017-08-22T02:41:00Z</dcterms:created>
  <dcterms:modified xsi:type="dcterms:W3CDTF">2017-08-22T13:00:00Z</dcterms:modified>
</cp:coreProperties>
</file>